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FF16FC">
        <w:rPr>
          <w:u w:val="single"/>
        </w:rPr>
        <w:t xml:space="preserve"> 10</w:t>
      </w:r>
      <w:r>
        <w:rPr>
          <w:u w:val="single"/>
        </w:rPr>
        <w:t xml:space="preserve">» </w:t>
      </w:r>
      <w:r>
        <w:t xml:space="preserve"> </w:t>
      </w:r>
      <w:r w:rsidR="002F3B3A">
        <w:rPr>
          <w:u w:val="single"/>
        </w:rPr>
        <w:t xml:space="preserve"> </w:t>
      </w:r>
      <w:r w:rsidR="00FF16FC">
        <w:rPr>
          <w:u w:val="single"/>
        </w:rPr>
        <w:t>июня</w:t>
      </w:r>
      <w:r>
        <w:rPr>
          <w:u w:val="single"/>
        </w:rPr>
        <w:t xml:space="preserve">   </w:t>
      </w:r>
      <w:r w:rsidR="00991C5E">
        <w:t>2018</w:t>
      </w:r>
      <w:r>
        <w:t xml:space="preserve"> года</w:t>
      </w:r>
      <w:r>
        <w:rPr>
          <w:u w:val="single"/>
        </w:rPr>
        <w:t xml:space="preserve">  </w:t>
      </w:r>
    </w:p>
    <w:p w:rsidR="00655844" w:rsidRDefault="0007702C" w:rsidP="00655844">
      <w:pPr>
        <w:pStyle w:val="a3"/>
        <w:ind w:left="4956"/>
        <w:jc w:val="left"/>
      </w:pPr>
      <w:r>
        <w:t xml:space="preserve">Решение № </w:t>
      </w:r>
      <w:r w:rsidR="00FF16FC">
        <w:t>215</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lastRenderedPageBreak/>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lastRenderedPageBreak/>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lastRenderedPageBreak/>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P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II. ФОРМЫ НЕПОСРЕДСТВЕННОГО ОСУЩЕСТВЛЕНИЯ НАСЕЛЕНИЕМ </w:t>
      </w:r>
      <w:r>
        <w:rPr>
          <w:b/>
        </w:rPr>
        <w:lastRenderedPageBreak/>
        <w:t>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lastRenderedPageBreak/>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w:t>
      </w:r>
      <w:r>
        <w:lastRenderedPageBreak/>
        <w:t>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lastRenderedPageBreak/>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w:t>
      </w:r>
      <w:proofErr w:type="gramStart"/>
      <w:r>
        <w:rPr>
          <w:bCs/>
          <w:i/>
        </w:rPr>
        <w:t>в</w:t>
      </w:r>
      <w:proofErr w:type="gramEnd"/>
      <w:r>
        <w:rPr>
          <w:bCs/>
          <w:i/>
        </w:rPr>
        <w:t xml:space="preserve">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rsidR="00FF16FC">
        <w:br/>
      </w:r>
      <w:r w:rsidR="00FF16FC">
        <w:rPr>
          <w:u w:val="single"/>
        </w:rPr>
        <w:t>(</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Pr>
          <w:i/>
          <w:highlight w:val="yellow"/>
        </w:rPr>
        <w:t>7</w:t>
      </w:r>
      <w:r w:rsidRPr="00E35803">
        <w:rPr>
          <w:highlight w:val="yellow"/>
        </w:rPr>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10.06.2018 № 215) </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lastRenderedPageBreak/>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lastRenderedPageBreak/>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w:t>
      </w:r>
      <w:proofErr w:type="gramStart"/>
      <w:r w:rsidRPr="00914D10">
        <w:rPr>
          <w:i/>
        </w:rPr>
        <w:t>в</w:t>
      </w:r>
      <w:proofErr w:type="gramEnd"/>
      <w:r w:rsidRPr="00914D10">
        <w:rPr>
          <w:i/>
        </w:rPr>
        <w:t xml:space="preserve">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proofErr w:type="gramStart"/>
      <w:r>
        <w:rPr>
          <w:bCs/>
          <w:i/>
        </w:rPr>
        <w:t>в</w:t>
      </w:r>
      <w:proofErr w:type="gramEnd"/>
      <w:r>
        <w:rPr>
          <w:bCs/>
          <w:i/>
        </w:rPr>
        <w:t xml:space="preserve">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Pr>
          <w:highlight w:val="yellow"/>
        </w:rPr>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w:t>
      </w:r>
      <w:r w:rsidRPr="009A5F25">
        <w:lastRenderedPageBreak/>
        <w:t>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w:t>
      </w:r>
      <w:proofErr w:type="gramStart"/>
      <w:r>
        <w:rPr>
          <w:i/>
        </w:rPr>
        <w:t>в</w:t>
      </w:r>
      <w:proofErr w:type="gramEnd"/>
      <w:r>
        <w:rPr>
          <w:i/>
        </w:rPr>
        <w:t xml:space="preserve">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 xml:space="preserve">3. Глава поселения осуществляет иные полномочия, отнесенные к полномочиям </w:t>
      </w:r>
      <w:r>
        <w:lastRenderedPageBreak/>
        <w:t>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0"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0"/>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1"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2" w:name="sub_117"/>
      <w:bookmarkEnd w:id="1"/>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3" w:name="sub_2134"/>
      <w:bookmarkEnd w:id="2"/>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3"/>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lastRenderedPageBreak/>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bookmarkStart w:id="4" w:name="_GoBack"/>
      <w:bookmarkEnd w:id="4"/>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lastRenderedPageBreak/>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w:t>
      </w:r>
      <w:proofErr w:type="gramStart"/>
      <w:r>
        <w:rPr>
          <w:bCs/>
          <w:i/>
        </w:rPr>
        <w:t>в</w:t>
      </w:r>
      <w:proofErr w:type="gramEnd"/>
      <w:r>
        <w:rPr>
          <w:bCs/>
          <w:i/>
        </w:rPr>
        <w:t xml:space="preserve">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 xml:space="preserve">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w:t>
      </w:r>
      <w:r>
        <w:lastRenderedPageBreak/>
        <w:t>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lastRenderedPageBreak/>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w:t>
      </w:r>
      <w:proofErr w:type="gramStart"/>
      <w:r w:rsidRPr="00FF16FC">
        <w:rPr>
          <w:i/>
        </w:rPr>
        <w:t>в</w:t>
      </w:r>
      <w:proofErr w:type="gramEnd"/>
      <w:r w:rsidRPr="00FF16FC">
        <w:rPr>
          <w:i/>
        </w:rPr>
        <w:t xml:space="preserve">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lastRenderedPageBreak/>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1A40AB" w:rsidRPr="001A40AB" w:rsidRDefault="001A40AB"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20.11.2017 № 185)</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 xml:space="preserve">Муниципальные правовые акты могут быть отменены или их действие может быть </w:t>
      </w:r>
      <w:r w:rsidRPr="004F06D7">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 xml:space="preserve">Средства бюджета поселения и иное муниципальное имущество, не закрепленное за </w:t>
      </w:r>
      <w:r>
        <w:lastRenderedPageBreak/>
        <w:t>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w:t>
      </w:r>
      <w:proofErr w:type="gramStart"/>
      <w:r>
        <w:rPr>
          <w:i/>
          <w:szCs w:val="20"/>
        </w:rPr>
        <w:t>в</w:t>
      </w:r>
      <w:proofErr w:type="gramEnd"/>
      <w:r>
        <w:rPr>
          <w:i/>
          <w:szCs w:val="20"/>
        </w:rPr>
        <w:t xml:space="preserve">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w:t>
      </w:r>
      <w:proofErr w:type="gramStart"/>
      <w:r>
        <w:rPr>
          <w:i/>
        </w:rPr>
        <w:t>в</w:t>
      </w:r>
      <w:proofErr w:type="gramEnd"/>
      <w:r>
        <w:rPr>
          <w:i/>
        </w:rPr>
        <w:t xml:space="preserve">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lastRenderedPageBreak/>
        <w:t>(</w:t>
      </w:r>
      <w:proofErr w:type="gramStart"/>
      <w:r>
        <w:rPr>
          <w:i/>
        </w:rPr>
        <w:t>в</w:t>
      </w:r>
      <w:proofErr w:type="gramEnd"/>
      <w:r>
        <w:rPr>
          <w:i/>
        </w:rPr>
        <w:t xml:space="preserve">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lastRenderedPageBreak/>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proofErr w:type="gramStart"/>
      <w:r>
        <w:rPr>
          <w:i/>
        </w:rPr>
        <w:t>в</w:t>
      </w:r>
      <w:proofErr w:type="gramEnd"/>
      <w:r>
        <w:rPr>
          <w:i/>
        </w:rPr>
        <w:t xml:space="preserve">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32" w:rsidRDefault="00CF7C32" w:rsidP="00F61A60">
      <w:r>
        <w:separator/>
      </w:r>
    </w:p>
  </w:endnote>
  <w:endnote w:type="continuationSeparator" w:id="0">
    <w:p w:rsidR="00CF7C32" w:rsidRDefault="00CF7C32"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55" w:rsidRDefault="004A2C55"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2C55" w:rsidRDefault="004A2C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55" w:rsidRDefault="004A2C55"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6C07">
      <w:rPr>
        <w:rStyle w:val="a7"/>
        <w:noProof/>
      </w:rPr>
      <w:t>29</w:t>
    </w:r>
    <w:r>
      <w:rPr>
        <w:rStyle w:val="a7"/>
      </w:rPr>
      <w:fldChar w:fldCharType="end"/>
    </w:r>
  </w:p>
  <w:p w:rsidR="004A2C55" w:rsidRDefault="004A2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32" w:rsidRDefault="00CF7C32" w:rsidP="00F61A60">
      <w:r>
        <w:separator/>
      </w:r>
    </w:p>
  </w:footnote>
  <w:footnote w:type="continuationSeparator" w:id="0">
    <w:p w:rsidR="00CF7C32" w:rsidRDefault="00CF7C32"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E0BC5"/>
    <w:rsid w:val="00807E8B"/>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CE04FA"/>
    <w:rsid w:val="00CF7BE7"/>
    <w:rsid w:val="00CF7C32"/>
    <w:rsid w:val="00D26EBF"/>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14093</Words>
  <Characters>80334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3</cp:revision>
  <cp:lastPrinted>2016-10-12T04:09:00Z</cp:lastPrinted>
  <dcterms:created xsi:type="dcterms:W3CDTF">2018-05-31T06:43:00Z</dcterms:created>
  <dcterms:modified xsi:type="dcterms:W3CDTF">2018-07-20T04:19:00Z</dcterms:modified>
</cp:coreProperties>
</file>